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10" w:rsidRPr="00BD1B84" w:rsidRDefault="00B42710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BD1B84">
        <w:rPr>
          <w:rFonts w:ascii="Times New Roman" w:hAnsi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ТОВАРИСТВО З ОБМЕЖЕНОЮ ВІДПОВІДАЛЬНІСТЮ </w:t>
      </w:r>
    </w:p>
    <w:p w:rsidR="00652194" w:rsidRPr="00BD1B84" w:rsidRDefault="00652194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"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КВАЛІФІКАЦІЙНИЙ ЦЕНТР СУЧАСНИХ НАУК</w:t>
      </w:r>
    </w:p>
    <w:p w:rsidR="00ED2AC2" w:rsidRPr="00BD1B84" w:rsidRDefault="00652194" w:rsidP="00ED2AC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"ЕКСПЕРТПРОФОСВІТА</w:t>
      </w:r>
      <w:r w:rsidR="00ED2AC2"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"  </w:t>
      </w:r>
    </w:p>
    <w:p w:rsidR="00F95578" w:rsidRPr="00BD1B84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ул</w:t>
      </w:r>
      <w:proofErr w:type="spellEnd"/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Васильківська,16</w:t>
      </w:r>
      <w:r w:rsidR="00CA4880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03040, </w:t>
      </w:r>
      <w:r w:rsidR="004E5CC2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м. Київ, </w:t>
      </w:r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Україна, тел. +38-050-01-666-83</w:t>
      </w:r>
    </w:p>
    <w:p w:rsidR="00ED2AC2" w:rsidRPr="00BD1B84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D1B84">
        <w:rPr>
          <w:rFonts w:ascii="Times New Roman" w:hAnsi="Times New Roman"/>
          <w:color w:val="000000" w:themeColor="text1"/>
          <w:sz w:val="24"/>
          <w:szCs w:val="24"/>
        </w:rPr>
        <w:t>е-</w:t>
      </w:r>
      <w:r w:rsidRPr="00BD1B84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A34148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BD1B84">
          <w:rPr>
            <w:rStyle w:val="a3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expertprofosvita@gmail.com</w:t>
        </w:r>
      </w:hyperlink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, код </w:t>
      </w:r>
      <w:r w:rsidR="00652194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ЄДРПОУ </w:t>
      </w:r>
      <w:r w:rsidR="00652194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45982687</w:t>
      </w:r>
      <w:r w:rsidR="00ED2AC2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413D86" w:rsidRPr="00BD1B84" w:rsidRDefault="008C6FC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C6FC2">
        <w:rPr>
          <w:rFonts w:ascii="Times New Roman" w:hAnsi="Times New Roman"/>
          <w:color w:val="000000" w:themeColor="text1"/>
          <w:sz w:val="24"/>
          <w:szCs w:val="24"/>
        </w:rPr>
        <w:pict>
          <v:rect id="_x0000_i1025" style="width:481.95pt;height:1pt;mso-position-vertical:absolute" o:hralign="center" o:hrstd="t" o:hrnoshade="t" o:hr="t" fillcolor="black [3213]" stroked="f"/>
        </w:pict>
      </w:r>
    </w:p>
    <w:p w:rsidR="008B109A" w:rsidRPr="008B109A" w:rsidRDefault="008B109A" w:rsidP="008B109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8B109A">
        <w:rPr>
          <w:rFonts w:ascii="Times New Roman" w:hAnsi="Times New Roman" w:cs="Times New Roman"/>
          <w:color w:val="auto"/>
        </w:rPr>
        <w:t>ПОРЯДОК</w:t>
      </w:r>
    </w:p>
    <w:p w:rsidR="008B109A" w:rsidRPr="008B109A" w:rsidRDefault="008B109A" w:rsidP="008B109A">
      <w:pPr>
        <w:pStyle w:val="a7"/>
        <w:jc w:val="center"/>
      </w:pPr>
      <w:r w:rsidRPr="008B109A">
        <w:t xml:space="preserve">реагування на доведені випадки </w:t>
      </w:r>
      <w:proofErr w:type="spellStart"/>
      <w:r w:rsidRPr="008B109A">
        <w:t>булінгу</w:t>
      </w:r>
      <w:proofErr w:type="spellEnd"/>
      <w:r w:rsidRPr="008B109A">
        <w:t xml:space="preserve"> (цькування)</w:t>
      </w:r>
      <w:r w:rsidRPr="008B109A">
        <w:br/>
        <w:t>у ТОВ «</w:t>
      </w:r>
      <w:proofErr w:type="spellStart"/>
      <w:r w:rsidRPr="008B109A">
        <w:t>Експертпрофосвіта</w:t>
      </w:r>
      <w:proofErr w:type="spellEnd"/>
      <w:r w:rsidRPr="008B109A">
        <w:t>»**</w:t>
      </w:r>
    </w:p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1. Загальні положення</w:t>
      </w:r>
    </w:p>
    <w:p w:rsidR="008B109A" w:rsidRPr="008B109A" w:rsidRDefault="008B109A" w:rsidP="008B109A">
      <w:pPr>
        <w:pStyle w:val="a7"/>
      </w:pPr>
      <w:r w:rsidRPr="008B109A">
        <w:t xml:space="preserve">1.1. Цей Порядок визначає механізм реагування на підтверджені випадки </w:t>
      </w:r>
      <w:proofErr w:type="spellStart"/>
      <w:r w:rsidRPr="008B109A">
        <w:t>булінгу</w:t>
      </w:r>
      <w:proofErr w:type="spellEnd"/>
      <w:r w:rsidRPr="008B109A">
        <w:t xml:space="preserve"> (цькування) серед здобувачів освіти, педагогічних працівників, адміністрації та інших учасників освітнього процесу у ТОВ «</w:t>
      </w:r>
      <w:proofErr w:type="spellStart"/>
      <w:r w:rsidRPr="008B109A">
        <w:t>Експертпрофосвіта</w:t>
      </w:r>
      <w:proofErr w:type="spellEnd"/>
      <w:r w:rsidRPr="008B109A">
        <w:t>».</w:t>
      </w:r>
      <w:r w:rsidRPr="008B109A">
        <w:br/>
        <w:t xml:space="preserve">1.2. Метою Порядку є забезпечення безпечного освітнього середовища, припинення </w:t>
      </w:r>
      <w:proofErr w:type="spellStart"/>
      <w:r w:rsidRPr="008B109A">
        <w:t>булінгу</w:t>
      </w:r>
      <w:proofErr w:type="spellEnd"/>
      <w:r w:rsidRPr="008B109A">
        <w:t>, відновлення прав постраждалої особи та притягнення винних до відповідальності.</w:t>
      </w:r>
      <w:r w:rsidRPr="008B109A">
        <w:br/>
        <w:t xml:space="preserve">1.3. </w:t>
      </w:r>
      <w:proofErr w:type="spellStart"/>
      <w:r w:rsidRPr="008B109A">
        <w:t>Булінг</w:t>
      </w:r>
      <w:proofErr w:type="spellEnd"/>
      <w:r w:rsidRPr="008B109A">
        <w:t xml:space="preserve"> (цькування) – це діяння (дії або бездіяльність), які полягають у психологічному, фізичному, економічному, сексуальному насильстві, цькуванні, у тому числі через електронні комунікації, що вчиняються щодо учасників освітнього процесу.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 xml:space="preserve">2. Підтвердження факту </w:t>
      </w:r>
      <w:proofErr w:type="spellStart"/>
      <w:r w:rsidRPr="008B109A">
        <w:rPr>
          <w:rStyle w:val="a6"/>
          <w:b/>
          <w:bCs/>
          <w:color w:val="auto"/>
        </w:rPr>
        <w:t>булінгу</w:t>
      </w:r>
      <w:proofErr w:type="spellEnd"/>
    </w:p>
    <w:p w:rsidR="008B109A" w:rsidRPr="008B109A" w:rsidRDefault="008B109A" w:rsidP="008B109A">
      <w:pPr>
        <w:pStyle w:val="a7"/>
      </w:pPr>
      <w:r w:rsidRPr="008B109A">
        <w:t xml:space="preserve">2.1. Факт </w:t>
      </w:r>
      <w:proofErr w:type="spellStart"/>
      <w:r w:rsidRPr="008B109A">
        <w:t>булінгу</w:t>
      </w:r>
      <w:proofErr w:type="spellEnd"/>
      <w:r w:rsidRPr="008B109A">
        <w:t xml:space="preserve"> вважається доведеним за результатами:</w:t>
      </w:r>
    </w:p>
    <w:p w:rsidR="008B109A" w:rsidRPr="008B109A" w:rsidRDefault="008B109A" w:rsidP="008B109A">
      <w:pPr>
        <w:pStyle w:val="a7"/>
        <w:numPr>
          <w:ilvl w:val="0"/>
          <w:numId w:val="37"/>
        </w:numPr>
      </w:pPr>
      <w:r w:rsidRPr="008B109A">
        <w:t xml:space="preserve">розгляду Комісією з розслідування випадків </w:t>
      </w:r>
      <w:proofErr w:type="spellStart"/>
      <w:r w:rsidRPr="008B109A">
        <w:t>булінгу</w:t>
      </w:r>
      <w:proofErr w:type="spellEnd"/>
      <w:r w:rsidRPr="008B109A">
        <w:t>;</w:t>
      </w:r>
    </w:p>
    <w:p w:rsidR="008B109A" w:rsidRPr="008B109A" w:rsidRDefault="008B109A" w:rsidP="008B109A">
      <w:pPr>
        <w:pStyle w:val="a7"/>
        <w:numPr>
          <w:ilvl w:val="0"/>
          <w:numId w:val="37"/>
        </w:numPr>
      </w:pPr>
      <w:r w:rsidRPr="008B109A">
        <w:t xml:space="preserve">аналізу заяв, пояснень, матеріалів </w:t>
      </w:r>
      <w:proofErr w:type="spellStart"/>
      <w:r w:rsidRPr="008B109A">
        <w:t>відеоспостереження</w:t>
      </w:r>
      <w:proofErr w:type="spellEnd"/>
      <w:r w:rsidRPr="008B109A">
        <w:t xml:space="preserve"> (за наявності), висновків психолога;</w:t>
      </w:r>
    </w:p>
    <w:p w:rsidR="008B109A" w:rsidRPr="008B109A" w:rsidRDefault="008B109A" w:rsidP="008B109A">
      <w:pPr>
        <w:pStyle w:val="a7"/>
        <w:numPr>
          <w:ilvl w:val="0"/>
          <w:numId w:val="37"/>
        </w:numPr>
      </w:pPr>
      <w:r w:rsidRPr="008B109A">
        <w:t>службового розслідування.</w:t>
      </w:r>
    </w:p>
    <w:p w:rsidR="008B109A" w:rsidRPr="008B109A" w:rsidRDefault="008B109A" w:rsidP="008B109A">
      <w:pPr>
        <w:pStyle w:val="a7"/>
      </w:pPr>
      <w:r w:rsidRPr="008B109A">
        <w:t xml:space="preserve">2.2. Комісія складає </w:t>
      </w:r>
      <w:r w:rsidRPr="008B109A">
        <w:rPr>
          <w:rStyle w:val="a6"/>
        </w:rPr>
        <w:t>офіційний висновок</w:t>
      </w:r>
      <w:r w:rsidRPr="008B109A">
        <w:t>, у якому визначається:</w:t>
      </w:r>
    </w:p>
    <w:p w:rsidR="008B109A" w:rsidRPr="008B109A" w:rsidRDefault="008B109A" w:rsidP="008B109A">
      <w:pPr>
        <w:pStyle w:val="a7"/>
        <w:numPr>
          <w:ilvl w:val="0"/>
          <w:numId w:val="38"/>
        </w:numPr>
      </w:pPr>
      <w:r w:rsidRPr="008B109A">
        <w:t xml:space="preserve">чи є випадок </w:t>
      </w:r>
      <w:proofErr w:type="spellStart"/>
      <w:r w:rsidRPr="008B109A">
        <w:t>булінгом</w:t>
      </w:r>
      <w:proofErr w:type="spellEnd"/>
      <w:r w:rsidRPr="008B109A">
        <w:t>;</w:t>
      </w:r>
    </w:p>
    <w:p w:rsidR="008B109A" w:rsidRPr="008B109A" w:rsidRDefault="008B109A" w:rsidP="008B109A">
      <w:pPr>
        <w:pStyle w:val="a7"/>
        <w:numPr>
          <w:ilvl w:val="0"/>
          <w:numId w:val="38"/>
        </w:numPr>
      </w:pPr>
      <w:r w:rsidRPr="008B109A">
        <w:t>хто є постраждалим;</w:t>
      </w:r>
    </w:p>
    <w:p w:rsidR="008B109A" w:rsidRPr="008B109A" w:rsidRDefault="008B109A" w:rsidP="008B109A">
      <w:pPr>
        <w:pStyle w:val="a7"/>
        <w:numPr>
          <w:ilvl w:val="0"/>
          <w:numId w:val="38"/>
        </w:numPr>
      </w:pPr>
      <w:r w:rsidRPr="008B109A">
        <w:t>хто є кривдником;</w:t>
      </w:r>
    </w:p>
    <w:p w:rsidR="008B109A" w:rsidRPr="008B109A" w:rsidRDefault="008B109A" w:rsidP="008B109A">
      <w:pPr>
        <w:pStyle w:val="a7"/>
        <w:numPr>
          <w:ilvl w:val="0"/>
          <w:numId w:val="38"/>
        </w:numPr>
      </w:pPr>
      <w:r w:rsidRPr="008B109A">
        <w:t>які дії необхідно вжити для реагування.</w:t>
      </w:r>
    </w:p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3. Негайні заходи реагування</w:t>
      </w:r>
    </w:p>
    <w:p w:rsidR="008B109A" w:rsidRPr="008B109A" w:rsidRDefault="008B109A" w:rsidP="008B109A">
      <w:pPr>
        <w:pStyle w:val="a7"/>
      </w:pPr>
      <w:r w:rsidRPr="008B109A">
        <w:t xml:space="preserve">Після підтвердження факту </w:t>
      </w:r>
      <w:proofErr w:type="spellStart"/>
      <w:r w:rsidRPr="008B109A">
        <w:t>булінгу</w:t>
      </w:r>
      <w:proofErr w:type="spellEnd"/>
      <w:r w:rsidRPr="008B109A">
        <w:t xml:space="preserve"> заклад освіти зобов’язаний:</w:t>
      </w:r>
    </w:p>
    <w:p w:rsidR="008B109A" w:rsidRPr="008B109A" w:rsidRDefault="008B109A" w:rsidP="008B109A">
      <w:pPr>
        <w:pStyle w:val="a7"/>
      </w:pPr>
      <w:r w:rsidRPr="008B109A">
        <w:t xml:space="preserve">3.1. </w:t>
      </w:r>
      <w:r w:rsidRPr="008B109A">
        <w:rPr>
          <w:rStyle w:val="a6"/>
        </w:rPr>
        <w:t>Припинити протиправні дії</w:t>
      </w:r>
      <w:r w:rsidRPr="008B109A">
        <w:t xml:space="preserve"> та забезпечити безпеку постраждалої особи.</w:t>
      </w:r>
      <w:r w:rsidRPr="008B109A">
        <w:br/>
        <w:t xml:space="preserve">3.2. </w:t>
      </w:r>
      <w:r w:rsidRPr="008B109A">
        <w:rPr>
          <w:rStyle w:val="a6"/>
        </w:rPr>
        <w:t>Повідомити батьків (законних представників)</w:t>
      </w:r>
      <w:r w:rsidRPr="008B109A">
        <w:t xml:space="preserve"> неповнолітніх учасників конфлікту.</w:t>
      </w:r>
      <w:r w:rsidRPr="008B109A">
        <w:br/>
        <w:t xml:space="preserve">3.3. У разі тяжких випадків – </w:t>
      </w:r>
      <w:r w:rsidRPr="008B109A">
        <w:rPr>
          <w:rStyle w:val="a6"/>
        </w:rPr>
        <w:t>інформувати Національну поліцію</w:t>
      </w:r>
      <w:r w:rsidRPr="008B109A">
        <w:t xml:space="preserve"> та Службу у справах дітей (відповідно до законодавства).</w:t>
      </w:r>
      <w:r w:rsidRPr="008B109A">
        <w:br/>
        <w:t>3.4. Забезпечити постраждалій особі доступ до психологічної підтримки, консультацій, супроводу.</w:t>
      </w:r>
    </w:p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lastRenderedPageBreak/>
        <w:t>4. Вжиття виховних, психологічних та дисциплінарних заходів</w:t>
      </w:r>
    </w:p>
    <w:p w:rsidR="008B109A" w:rsidRPr="008B109A" w:rsidRDefault="008B109A" w:rsidP="008B109A">
      <w:pPr>
        <w:pStyle w:val="a7"/>
      </w:pPr>
      <w:r w:rsidRPr="008B109A">
        <w:t>4.1. До кривдника можуть бути застосовані заходи впливу, передбачені законодавством та внутрішніми документами закладу, а саме:</w:t>
      </w:r>
    </w:p>
    <w:p w:rsidR="008B109A" w:rsidRPr="008B109A" w:rsidRDefault="008B109A" w:rsidP="008B109A">
      <w:pPr>
        <w:pStyle w:val="a7"/>
        <w:numPr>
          <w:ilvl w:val="0"/>
          <w:numId w:val="39"/>
        </w:numPr>
      </w:pPr>
      <w:r w:rsidRPr="008B109A">
        <w:t>індивідуальна бесіда;</w:t>
      </w:r>
    </w:p>
    <w:p w:rsidR="008B109A" w:rsidRPr="008B109A" w:rsidRDefault="008B109A" w:rsidP="008B109A">
      <w:pPr>
        <w:pStyle w:val="a7"/>
        <w:numPr>
          <w:ilvl w:val="0"/>
          <w:numId w:val="39"/>
        </w:numPr>
      </w:pPr>
      <w:r w:rsidRPr="008B109A">
        <w:t>обов’язкові консультації з психологом;</w:t>
      </w:r>
    </w:p>
    <w:p w:rsidR="008B109A" w:rsidRPr="008B109A" w:rsidRDefault="008B109A" w:rsidP="008B109A">
      <w:pPr>
        <w:pStyle w:val="a7"/>
        <w:numPr>
          <w:ilvl w:val="0"/>
          <w:numId w:val="39"/>
        </w:numPr>
      </w:pPr>
      <w:proofErr w:type="spellStart"/>
      <w:r w:rsidRPr="008B109A">
        <w:t>written</w:t>
      </w:r>
      <w:proofErr w:type="spellEnd"/>
      <w:r w:rsidRPr="008B109A">
        <w:t xml:space="preserve"> </w:t>
      </w:r>
      <w:proofErr w:type="spellStart"/>
      <w:r w:rsidRPr="008B109A">
        <w:t>warning</w:t>
      </w:r>
      <w:proofErr w:type="spellEnd"/>
      <w:r w:rsidRPr="008B109A">
        <w:t xml:space="preserve"> (письмове попередження);</w:t>
      </w:r>
    </w:p>
    <w:p w:rsidR="008B109A" w:rsidRPr="008B109A" w:rsidRDefault="008B109A" w:rsidP="008B109A">
      <w:pPr>
        <w:pStyle w:val="a7"/>
        <w:numPr>
          <w:ilvl w:val="0"/>
          <w:numId w:val="39"/>
        </w:numPr>
      </w:pPr>
      <w:r w:rsidRPr="008B109A">
        <w:t>відновлювальні практики (примирення, медіація — за згодою сторін);</w:t>
      </w:r>
    </w:p>
    <w:p w:rsidR="008B109A" w:rsidRPr="008B109A" w:rsidRDefault="008B109A" w:rsidP="008B109A">
      <w:pPr>
        <w:pStyle w:val="a7"/>
        <w:numPr>
          <w:ilvl w:val="0"/>
          <w:numId w:val="39"/>
        </w:numPr>
      </w:pPr>
      <w:r w:rsidRPr="008B109A">
        <w:t>дисциплінарні стягнення відповідно до правил внутрішнього розпорядку.</w:t>
      </w:r>
    </w:p>
    <w:p w:rsidR="008B109A" w:rsidRPr="008B109A" w:rsidRDefault="008B109A" w:rsidP="008B109A">
      <w:pPr>
        <w:pStyle w:val="a7"/>
      </w:pPr>
      <w:r w:rsidRPr="008B109A">
        <w:t>4.2. Педагогічні працівники можуть бути притягнуті до дисциплінарної відповідальності згідно із законодавством України (догана, попередження, звільнення).</w:t>
      </w:r>
    </w:p>
    <w:p w:rsidR="008B109A" w:rsidRPr="008B109A" w:rsidRDefault="008B109A" w:rsidP="008B109A">
      <w:pPr>
        <w:pStyle w:val="a7"/>
      </w:pPr>
      <w:r w:rsidRPr="008B109A">
        <w:t>4.3. У випадках, коли кривдником є повнолітній здобувач освіти, до нього можуть бути застосовані:</w:t>
      </w:r>
    </w:p>
    <w:p w:rsidR="008B109A" w:rsidRPr="008B109A" w:rsidRDefault="008B109A" w:rsidP="008B109A">
      <w:pPr>
        <w:pStyle w:val="a7"/>
        <w:numPr>
          <w:ilvl w:val="0"/>
          <w:numId w:val="40"/>
        </w:numPr>
      </w:pPr>
      <w:r w:rsidRPr="008B109A">
        <w:t>письмове застереження;</w:t>
      </w:r>
    </w:p>
    <w:p w:rsidR="008B109A" w:rsidRPr="008B109A" w:rsidRDefault="008B109A" w:rsidP="008B109A">
      <w:pPr>
        <w:pStyle w:val="a7"/>
        <w:numPr>
          <w:ilvl w:val="0"/>
          <w:numId w:val="40"/>
        </w:numPr>
      </w:pPr>
      <w:r w:rsidRPr="008B109A">
        <w:t>відрахування із закладу (за рішенням керівництва).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5. Підтримка постраждалої особи</w:t>
      </w:r>
    </w:p>
    <w:p w:rsidR="008B109A" w:rsidRPr="008B109A" w:rsidRDefault="008B109A" w:rsidP="008B109A">
      <w:pPr>
        <w:pStyle w:val="a7"/>
      </w:pPr>
      <w:r w:rsidRPr="008B109A">
        <w:t>5.1. Постраждалій особі забезпечується:</w:t>
      </w:r>
    </w:p>
    <w:p w:rsidR="008B109A" w:rsidRPr="008B109A" w:rsidRDefault="008B109A" w:rsidP="008B109A">
      <w:pPr>
        <w:pStyle w:val="a7"/>
        <w:numPr>
          <w:ilvl w:val="0"/>
          <w:numId w:val="41"/>
        </w:numPr>
      </w:pPr>
      <w:r w:rsidRPr="008B109A">
        <w:t>робота з психологом (консультації, підтримка, план відновлення);</w:t>
      </w:r>
    </w:p>
    <w:p w:rsidR="008B109A" w:rsidRPr="008B109A" w:rsidRDefault="008B109A" w:rsidP="008B109A">
      <w:pPr>
        <w:pStyle w:val="a7"/>
        <w:numPr>
          <w:ilvl w:val="0"/>
          <w:numId w:val="41"/>
        </w:numPr>
      </w:pPr>
      <w:r w:rsidRPr="008B109A">
        <w:t>створення безпечних умов перебування у закладі;</w:t>
      </w:r>
    </w:p>
    <w:p w:rsidR="008B109A" w:rsidRPr="008B109A" w:rsidRDefault="008B109A" w:rsidP="008B109A">
      <w:pPr>
        <w:pStyle w:val="a7"/>
        <w:numPr>
          <w:ilvl w:val="0"/>
          <w:numId w:val="41"/>
        </w:numPr>
      </w:pPr>
      <w:r w:rsidRPr="008B109A">
        <w:t>зміна навчальної групи або адаптація графіка (за потреби та за її згодою);</w:t>
      </w:r>
    </w:p>
    <w:p w:rsidR="008B109A" w:rsidRPr="008B109A" w:rsidRDefault="008B109A" w:rsidP="008B109A">
      <w:pPr>
        <w:pStyle w:val="a7"/>
        <w:numPr>
          <w:ilvl w:val="0"/>
          <w:numId w:val="41"/>
        </w:numPr>
      </w:pPr>
      <w:r w:rsidRPr="008B109A">
        <w:t>педагогічний супровід у випадку погіршення навчальних результатів, спричинених інцидентом.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 xml:space="preserve">6. Робота з групою, де стався випадок </w:t>
      </w:r>
      <w:proofErr w:type="spellStart"/>
      <w:r w:rsidRPr="008B109A">
        <w:rPr>
          <w:rStyle w:val="a6"/>
          <w:b/>
          <w:bCs/>
          <w:color w:val="auto"/>
        </w:rPr>
        <w:t>булінгу</w:t>
      </w:r>
      <w:proofErr w:type="spellEnd"/>
    </w:p>
    <w:p w:rsidR="008B109A" w:rsidRPr="008B109A" w:rsidRDefault="008B109A" w:rsidP="008B109A">
      <w:pPr>
        <w:pStyle w:val="a7"/>
      </w:pPr>
      <w:r w:rsidRPr="008B109A">
        <w:t>6.1. З групою проводяться заходи:</w:t>
      </w:r>
    </w:p>
    <w:p w:rsidR="008B109A" w:rsidRPr="008B109A" w:rsidRDefault="008B109A" w:rsidP="008B109A">
      <w:pPr>
        <w:pStyle w:val="a7"/>
        <w:numPr>
          <w:ilvl w:val="0"/>
          <w:numId w:val="42"/>
        </w:numPr>
      </w:pPr>
      <w:r w:rsidRPr="008B109A">
        <w:t>превентивні бесіди;</w:t>
      </w:r>
    </w:p>
    <w:p w:rsidR="008B109A" w:rsidRPr="008B109A" w:rsidRDefault="008B109A" w:rsidP="008B109A">
      <w:pPr>
        <w:pStyle w:val="a7"/>
        <w:numPr>
          <w:ilvl w:val="0"/>
          <w:numId w:val="42"/>
        </w:numPr>
      </w:pPr>
      <w:r w:rsidRPr="008B109A">
        <w:t>уроки з тематики безпеки та поваги;</w:t>
      </w:r>
    </w:p>
    <w:p w:rsidR="008B109A" w:rsidRPr="008B109A" w:rsidRDefault="008B109A" w:rsidP="008B109A">
      <w:pPr>
        <w:pStyle w:val="a7"/>
        <w:numPr>
          <w:ilvl w:val="0"/>
          <w:numId w:val="42"/>
        </w:numPr>
      </w:pPr>
      <w:proofErr w:type="spellStart"/>
      <w:r w:rsidRPr="008B109A">
        <w:t>корекційні</w:t>
      </w:r>
      <w:proofErr w:type="spellEnd"/>
      <w:r w:rsidRPr="008B109A">
        <w:t xml:space="preserve"> заняття з психологом;</w:t>
      </w:r>
    </w:p>
    <w:p w:rsidR="008B109A" w:rsidRPr="008B109A" w:rsidRDefault="008B109A" w:rsidP="008B109A">
      <w:pPr>
        <w:pStyle w:val="a7"/>
        <w:numPr>
          <w:ilvl w:val="0"/>
          <w:numId w:val="42"/>
        </w:numPr>
      </w:pPr>
      <w:r w:rsidRPr="008B109A">
        <w:t>тренінги щодо ненасильницької комунікації.</w:t>
      </w:r>
    </w:p>
    <w:p w:rsidR="008B109A" w:rsidRPr="008B109A" w:rsidRDefault="008B109A" w:rsidP="008B109A">
      <w:pPr>
        <w:pStyle w:val="a7"/>
      </w:pPr>
      <w:r w:rsidRPr="008B109A">
        <w:t>6.2. Педагогічні працівники отримують рекомендації щодо подальшої взаємодії з групою та окремими учасниками інциденту.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7. Документування та зберігання інформації</w:t>
      </w:r>
    </w:p>
    <w:p w:rsidR="008B109A" w:rsidRPr="008B109A" w:rsidRDefault="008B109A" w:rsidP="008B109A">
      <w:pPr>
        <w:pStyle w:val="a7"/>
      </w:pPr>
      <w:r w:rsidRPr="008B109A">
        <w:t xml:space="preserve">7.1. Усі матеріали розслідування зберігаються у закладі не менше </w:t>
      </w:r>
      <w:r w:rsidRPr="008B109A">
        <w:rPr>
          <w:rStyle w:val="a6"/>
        </w:rPr>
        <w:t>трьох років</w:t>
      </w:r>
      <w:r w:rsidRPr="008B109A">
        <w:t>.</w:t>
      </w:r>
      <w:r w:rsidRPr="008B109A">
        <w:br/>
        <w:t>7.2. Доступ до матеріалів має лише визначене коло працівників закладу з дотриманням конфіденційності.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8. Повідомлення компетентних органів</w:t>
      </w:r>
    </w:p>
    <w:p w:rsidR="008B109A" w:rsidRPr="008B109A" w:rsidRDefault="008B109A" w:rsidP="008B109A">
      <w:pPr>
        <w:pStyle w:val="a7"/>
      </w:pPr>
      <w:r w:rsidRPr="008B109A">
        <w:t>8.1. Якщо у діях кривдника є ознаки адміністративного або кримінального правопорушення, заклад зобов'язаний звернутися до:</w:t>
      </w:r>
    </w:p>
    <w:p w:rsidR="008B109A" w:rsidRPr="008B109A" w:rsidRDefault="008B109A" w:rsidP="008B109A">
      <w:pPr>
        <w:pStyle w:val="a7"/>
        <w:numPr>
          <w:ilvl w:val="0"/>
          <w:numId w:val="43"/>
        </w:numPr>
      </w:pPr>
      <w:r w:rsidRPr="008B109A">
        <w:t>Національної поліції;</w:t>
      </w:r>
    </w:p>
    <w:p w:rsidR="008B109A" w:rsidRPr="008B109A" w:rsidRDefault="008B109A" w:rsidP="008B109A">
      <w:pPr>
        <w:pStyle w:val="a7"/>
        <w:numPr>
          <w:ilvl w:val="0"/>
          <w:numId w:val="43"/>
        </w:numPr>
      </w:pPr>
      <w:r w:rsidRPr="008B109A">
        <w:t>Служби у справах дітей;</w:t>
      </w:r>
    </w:p>
    <w:p w:rsidR="008B109A" w:rsidRPr="008B109A" w:rsidRDefault="008B109A" w:rsidP="008B109A">
      <w:pPr>
        <w:pStyle w:val="a7"/>
        <w:numPr>
          <w:ilvl w:val="0"/>
          <w:numId w:val="43"/>
        </w:numPr>
      </w:pPr>
      <w:r w:rsidRPr="008B109A">
        <w:t>Центру соціальних служб.</w:t>
      </w:r>
    </w:p>
    <w:p w:rsidR="008B109A" w:rsidRPr="008B109A" w:rsidRDefault="008B109A" w:rsidP="008B109A">
      <w:pPr>
        <w:pStyle w:val="a7"/>
      </w:pPr>
      <w:r w:rsidRPr="008B109A">
        <w:t>8.2. Звернення оформляється офіційним листом керівника закладу.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9. Моніторинг та профілактика повторних випадків</w:t>
      </w:r>
    </w:p>
    <w:p w:rsidR="008B109A" w:rsidRPr="008B109A" w:rsidRDefault="008B109A" w:rsidP="008B109A">
      <w:pPr>
        <w:pStyle w:val="a7"/>
      </w:pPr>
      <w:r w:rsidRPr="008B109A">
        <w:t xml:space="preserve">9.1. Після підтвердженого випадку </w:t>
      </w:r>
      <w:proofErr w:type="spellStart"/>
      <w:r w:rsidRPr="008B109A">
        <w:t>булінгу</w:t>
      </w:r>
      <w:proofErr w:type="spellEnd"/>
      <w:r w:rsidRPr="008B109A">
        <w:t xml:space="preserve"> психолог та класний керівник (куратор групи) ведуть </w:t>
      </w:r>
      <w:r w:rsidRPr="008B109A">
        <w:rPr>
          <w:rStyle w:val="a6"/>
        </w:rPr>
        <w:t>моніторинг поведінки обох сторін</w:t>
      </w:r>
      <w:r w:rsidRPr="008B109A">
        <w:t xml:space="preserve"> протягом щонайменше 3 місяців.</w:t>
      </w:r>
      <w:r w:rsidRPr="008B109A">
        <w:br/>
        <w:t>9.2. Заклад здійснює:</w:t>
      </w:r>
    </w:p>
    <w:p w:rsidR="008B109A" w:rsidRPr="008B109A" w:rsidRDefault="008B109A" w:rsidP="008B109A">
      <w:pPr>
        <w:pStyle w:val="a7"/>
        <w:numPr>
          <w:ilvl w:val="0"/>
          <w:numId w:val="44"/>
        </w:numPr>
      </w:pPr>
      <w:r w:rsidRPr="008B109A">
        <w:t>періодичні бесіди з учасниками;</w:t>
      </w:r>
    </w:p>
    <w:p w:rsidR="008B109A" w:rsidRPr="008B109A" w:rsidRDefault="008B109A" w:rsidP="008B109A">
      <w:pPr>
        <w:pStyle w:val="a7"/>
        <w:numPr>
          <w:ilvl w:val="0"/>
          <w:numId w:val="44"/>
        </w:numPr>
      </w:pPr>
      <w:r w:rsidRPr="008B109A">
        <w:t>контроль дотримання безпеки;</w:t>
      </w:r>
    </w:p>
    <w:p w:rsidR="008B109A" w:rsidRPr="008B109A" w:rsidRDefault="008B109A" w:rsidP="008B109A">
      <w:pPr>
        <w:pStyle w:val="a7"/>
        <w:numPr>
          <w:ilvl w:val="0"/>
          <w:numId w:val="44"/>
        </w:numPr>
      </w:pPr>
      <w:r w:rsidRPr="008B109A">
        <w:t>участь у профілактичних програмах.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10. Завершення процедури</w:t>
      </w:r>
    </w:p>
    <w:p w:rsidR="008B109A" w:rsidRPr="008B109A" w:rsidRDefault="008B109A" w:rsidP="008B109A">
      <w:pPr>
        <w:pStyle w:val="a7"/>
      </w:pPr>
      <w:r w:rsidRPr="008B109A">
        <w:t xml:space="preserve">10.1. Про завершення розгляду керівник закладу видає </w:t>
      </w:r>
      <w:r w:rsidRPr="008B109A">
        <w:rPr>
          <w:rStyle w:val="a6"/>
        </w:rPr>
        <w:t>наказ</w:t>
      </w:r>
      <w:r w:rsidRPr="008B109A">
        <w:t>, який містить:</w:t>
      </w:r>
    </w:p>
    <w:p w:rsidR="008B109A" w:rsidRPr="008B109A" w:rsidRDefault="008B109A" w:rsidP="008B109A">
      <w:pPr>
        <w:pStyle w:val="a7"/>
        <w:numPr>
          <w:ilvl w:val="0"/>
          <w:numId w:val="45"/>
        </w:numPr>
      </w:pPr>
      <w:r w:rsidRPr="008B109A">
        <w:t>результати розслідування;</w:t>
      </w:r>
    </w:p>
    <w:p w:rsidR="008B109A" w:rsidRPr="008B109A" w:rsidRDefault="008B109A" w:rsidP="008B109A">
      <w:pPr>
        <w:pStyle w:val="a7"/>
        <w:numPr>
          <w:ilvl w:val="0"/>
          <w:numId w:val="45"/>
        </w:numPr>
      </w:pPr>
      <w:r w:rsidRPr="008B109A">
        <w:t>заходи реагування;</w:t>
      </w:r>
    </w:p>
    <w:p w:rsidR="008B109A" w:rsidRPr="008B109A" w:rsidRDefault="008B109A" w:rsidP="008B109A">
      <w:pPr>
        <w:pStyle w:val="a7"/>
        <w:numPr>
          <w:ilvl w:val="0"/>
          <w:numId w:val="45"/>
        </w:numPr>
      </w:pPr>
      <w:r w:rsidRPr="008B109A">
        <w:t>осіб, відповідальних за подальший супровід.</w:t>
      </w:r>
    </w:p>
    <w:p w:rsidR="008B109A" w:rsidRPr="008B109A" w:rsidRDefault="008B109A" w:rsidP="008B109A">
      <w:pPr>
        <w:pStyle w:val="a7"/>
      </w:pPr>
      <w:r w:rsidRPr="008B109A">
        <w:t>10.2. Зміст наказу доводиться до відома сторін (без розголошення конфіденційної інформації третім особам).</w:t>
      </w:r>
    </w:p>
    <w:p w:rsidR="008B109A" w:rsidRPr="008B109A" w:rsidRDefault="008B109A" w:rsidP="008B109A"/>
    <w:p w:rsidR="008B109A" w:rsidRPr="008B109A" w:rsidRDefault="008B109A" w:rsidP="008B109A">
      <w:pPr>
        <w:pStyle w:val="2"/>
        <w:rPr>
          <w:color w:val="auto"/>
        </w:rPr>
      </w:pPr>
      <w:r w:rsidRPr="008B109A">
        <w:rPr>
          <w:rStyle w:val="a6"/>
          <w:b/>
          <w:bCs/>
          <w:color w:val="auto"/>
        </w:rPr>
        <w:t>11. Відповідальність</w:t>
      </w:r>
    </w:p>
    <w:p w:rsidR="008B109A" w:rsidRPr="008B109A" w:rsidRDefault="008B109A" w:rsidP="008B109A">
      <w:pPr>
        <w:pStyle w:val="a7"/>
      </w:pPr>
      <w:r w:rsidRPr="008B109A">
        <w:t>11.1. Учасники освітнього процесу несуть відповідальність за:</w:t>
      </w:r>
    </w:p>
    <w:p w:rsidR="008B109A" w:rsidRPr="008B109A" w:rsidRDefault="008B109A" w:rsidP="008B109A">
      <w:pPr>
        <w:pStyle w:val="a7"/>
        <w:numPr>
          <w:ilvl w:val="0"/>
          <w:numId w:val="46"/>
        </w:numPr>
      </w:pPr>
      <w:r w:rsidRPr="008B109A">
        <w:t xml:space="preserve">вчинення </w:t>
      </w:r>
      <w:proofErr w:type="spellStart"/>
      <w:r w:rsidRPr="008B109A">
        <w:t>булінгу</w:t>
      </w:r>
      <w:proofErr w:type="spellEnd"/>
      <w:r w:rsidRPr="008B109A">
        <w:t>;</w:t>
      </w:r>
    </w:p>
    <w:p w:rsidR="008B109A" w:rsidRPr="008B109A" w:rsidRDefault="008B109A" w:rsidP="008B109A">
      <w:pPr>
        <w:pStyle w:val="a7"/>
        <w:numPr>
          <w:ilvl w:val="0"/>
          <w:numId w:val="46"/>
        </w:numPr>
      </w:pPr>
      <w:r w:rsidRPr="008B109A">
        <w:t xml:space="preserve">приховування фактів </w:t>
      </w:r>
      <w:proofErr w:type="spellStart"/>
      <w:r w:rsidRPr="008B109A">
        <w:t>булінгу</w:t>
      </w:r>
      <w:proofErr w:type="spellEnd"/>
      <w:r w:rsidRPr="008B109A">
        <w:t>;</w:t>
      </w:r>
    </w:p>
    <w:p w:rsidR="008B109A" w:rsidRPr="008B109A" w:rsidRDefault="008B109A" w:rsidP="008B109A">
      <w:pPr>
        <w:pStyle w:val="a7"/>
        <w:numPr>
          <w:ilvl w:val="0"/>
          <w:numId w:val="46"/>
        </w:numPr>
      </w:pPr>
      <w:r w:rsidRPr="008B109A">
        <w:t>поширення конфіденційної інформації про постраждалих.</w:t>
      </w: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0C750B" w:rsidRPr="00BD1B84" w:rsidRDefault="00A34148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  <w:t xml:space="preserve">         Д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>иректор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_________       </w:t>
      </w:r>
      <w:r w:rsidR="000C750B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А.В.КОВАЛЬОВ </w:t>
      </w:r>
    </w:p>
    <w:p w:rsidR="00A34148" w:rsidRPr="00BD1B84" w:rsidRDefault="00A34148" w:rsidP="00421879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>(найменування посади керівника)</w:t>
      </w: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ab/>
        <w:t xml:space="preserve">    (підпис)      </w:t>
      </w:r>
      <w:r w:rsidR="000C750B"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                   (ініціали та прізвище)</w:t>
      </w:r>
    </w:p>
    <w:sectPr w:rsidR="00A34148" w:rsidRPr="00BD1B84" w:rsidSect="00A01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114"/>
    <w:multiLevelType w:val="multilevel"/>
    <w:tmpl w:val="A942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0971"/>
    <w:multiLevelType w:val="multilevel"/>
    <w:tmpl w:val="C99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03595"/>
    <w:multiLevelType w:val="multilevel"/>
    <w:tmpl w:val="9ECA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14F14"/>
    <w:multiLevelType w:val="multilevel"/>
    <w:tmpl w:val="135E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377CF"/>
    <w:multiLevelType w:val="multilevel"/>
    <w:tmpl w:val="053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54296"/>
    <w:multiLevelType w:val="multilevel"/>
    <w:tmpl w:val="5C0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A5E90"/>
    <w:multiLevelType w:val="multilevel"/>
    <w:tmpl w:val="FB54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375DE"/>
    <w:multiLevelType w:val="multilevel"/>
    <w:tmpl w:val="20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BD3F0A"/>
    <w:multiLevelType w:val="multilevel"/>
    <w:tmpl w:val="488E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908F2"/>
    <w:multiLevelType w:val="multilevel"/>
    <w:tmpl w:val="CC9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A18BE"/>
    <w:multiLevelType w:val="multilevel"/>
    <w:tmpl w:val="CCCA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770DF9"/>
    <w:multiLevelType w:val="multilevel"/>
    <w:tmpl w:val="63D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CE423B"/>
    <w:multiLevelType w:val="multilevel"/>
    <w:tmpl w:val="40D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2D54A6"/>
    <w:multiLevelType w:val="multilevel"/>
    <w:tmpl w:val="59A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971479"/>
    <w:multiLevelType w:val="multilevel"/>
    <w:tmpl w:val="30B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AD7D31"/>
    <w:multiLevelType w:val="multilevel"/>
    <w:tmpl w:val="48C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645E8B"/>
    <w:multiLevelType w:val="multilevel"/>
    <w:tmpl w:val="644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791A65"/>
    <w:multiLevelType w:val="multilevel"/>
    <w:tmpl w:val="AA9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E20746"/>
    <w:multiLevelType w:val="multilevel"/>
    <w:tmpl w:val="4E3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B30C33"/>
    <w:multiLevelType w:val="multilevel"/>
    <w:tmpl w:val="575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48683E"/>
    <w:multiLevelType w:val="multilevel"/>
    <w:tmpl w:val="B31C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365C30"/>
    <w:multiLevelType w:val="multilevel"/>
    <w:tmpl w:val="AE2E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45736E"/>
    <w:multiLevelType w:val="multilevel"/>
    <w:tmpl w:val="47D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1E4C0A"/>
    <w:multiLevelType w:val="multilevel"/>
    <w:tmpl w:val="D89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1B459D"/>
    <w:multiLevelType w:val="multilevel"/>
    <w:tmpl w:val="AFF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2652D8"/>
    <w:multiLevelType w:val="multilevel"/>
    <w:tmpl w:val="F226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9C674F"/>
    <w:multiLevelType w:val="multilevel"/>
    <w:tmpl w:val="FBD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C02843"/>
    <w:multiLevelType w:val="multilevel"/>
    <w:tmpl w:val="B8B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A1E46"/>
    <w:multiLevelType w:val="multilevel"/>
    <w:tmpl w:val="16D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138BD"/>
    <w:multiLevelType w:val="multilevel"/>
    <w:tmpl w:val="DEC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4F3E86"/>
    <w:multiLevelType w:val="multilevel"/>
    <w:tmpl w:val="9962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F875F0"/>
    <w:multiLevelType w:val="hybridMultilevel"/>
    <w:tmpl w:val="ACBE81FA"/>
    <w:lvl w:ilvl="0" w:tplc="5046E7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BD6BF4"/>
    <w:multiLevelType w:val="multilevel"/>
    <w:tmpl w:val="5ED8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A322E1"/>
    <w:multiLevelType w:val="multilevel"/>
    <w:tmpl w:val="0CC8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356159"/>
    <w:multiLevelType w:val="multilevel"/>
    <w:tmpl w:val="B2A8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676598"/>
    <w:multiLevelType w:val="multilevel"/>
    <w:tmpl w:val="669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AF2138"/>
    <w:multiLevelType w:val="multilevel"/>
    <w:tmpl w:val="5762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F93446"/>
    <w:multiLevelType w:val="multilevel"/>
    <w:tmpl w:val="400C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0854D8"/>
    <w:multiLevelType w:val="multilevel"/>
    <w:tmpl w:val="2EE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7A17D5"/>
    <w:multiLevelType w:val="multilevel"/>
    <w:tmpl w:val="F9D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D0104E"/>
    <w:multiLevelType w:val="multilevel"/>
    <w:tmpl w:val="6A4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FA5CA8"/>
    <w:multiLevelType w:val="multilevel"/>
    <w:tmpl w:val="E9D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A1425"/>
    <w:multiLevelType w:val="multilevel"/>
    <w:tmpl w:val="F18C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582D40"/>
    <w:multiLevelType w:val="multilevel"/>
    <w:tmpl w:val="582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E5227"/>
    <w:multiLevelType w:val="multilevel"/>
    <w:tmpl w:val="D9E2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203C24"/>
    <w:multiLevelType w:val="multilevel"/>
    <w:tmpl w:val="E98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17"/>
  </w:num>
  <w:num w:numId="5">
    <w:abstractNumId w:val="24"/>
  </w:num>
  <w:num w:numId="6">
    <w:abstractNumId w:val="23"/>
  </w:num>
  <w:num w:numId="7">
    <w:abstractNumId w:val="13"/>
  </w:num>
  <w:num w:numId="8">
    <w:abstractNumId w:val="4"/>
  </w:num>
  <w:num w:numId="9">
    <w:abstractNumId w:val="25"/>
  </w:num>
  <w:num w:numId="10">
    <w:abstractNumId w:val="2"/>
  </w:num>
  <w:num w:numId="11">
    <w:abstractNumId w:val="29"/>
  </w:num>
  <w:num w:numId="12">
    <w:abstractNumId w:val="39"/>
  </w:num>
  <w:num w:numId="13">
    <w:abstractNumId w:val="42"/>
  </w:num>
  <w:num w:numId="14">
    <w:abstractNumId w:val="20"/>
  </w:num>
  <w:num w:numId="15">
    <w:abstractNumId w:val="16"/>
  </w:num>
  <w:num w:numId="16">
    <w:abstractNumId w:val="27"/>
  </w:num>
  <w:num w:numId="17">
    <w:abstractNumId w:val="41"/>
  </w:num>
  <w:num w:numId="18">
    <w:abstractNumId w:val="8"/>
  </w:num>
  <w:num w:numId="19">
    <w:abstractNumId w:val="44"/>
  </w:num>
  <w:num w:numId="20">
    <w:abstractNumId w:val="1"/>
  </w:num>
  <w:num w:numId="21">
    <w:abstractNumId w:val="37"/>
  </w:num>
  <w:num w:numId="22">
    <w:abstractNumId w:val="10"/>
  </w:num>
  <w:num w:numId="23">
    <w:abstractNumId w:val="40"/>
  </w:num>
  <w:num w:numId="24">
    <w:abstractNumId w:val="11"/>
  </w:num>
  <w:num w:numId="25">
    <w:abstractNumId w:val="0"/>
  </w:num>
  <w:num w:numId="26">
    <w:abstractNumId w:val="35"/>
  </w:num>
  <w:num w:numId="27">
    <w:abstractNumId w:val="30"/>
  </w:num>
  <w:num w:numId="28">
    <w:abstractNumId w:val="32"/>
  </w:num>
  <w:num w:numId="29">
    <w:abstractNumId w:val="12"/>
  </w:num>
  <w:num w:numId="30">
    <w:abstractNumId w:val="38"/>
  </w:num>
  <w:num w:numId="31">
    <w:abstractNumId w:val="14"/>
  </w:num>
  <w:num w:numId="32">
    <w:abstractNumId w:val="36"/>
  </w:num>
  <w:num w:numId="33">
    <w:abstractNumId w:val="9"/>
  </w:num>
  <w:num w:numId="34">
    <w:abstractNumId w:val="5"/>
  </w:num>
  <w:num w:numId="35">
    <w:abstractNumId w:val="26"/>
  </w:num>
  <w:num w:numId="36">
    <w:abstractNumId w:val="18"/>
  </w:num>
  <w:num w:numId="37">
    <w:abstractNumId w:val="43"/>
  </w:num>
  <w:num w:numId="38">
    <w:abstractNumId w:val="6"/>
  </w:num>
  <w:num w:numId="39">
    <w:abstractNumId w:val="3"/>
  </w:num>
  <w:num w:numId="40">
    <w:abstractNumId w:val="19"/>
  </w:num>
  <w:num w:numId="41">
    <w:abstractNumId w:val="28"/>
  </w:num>
  <w:num w:numId="42">
    <w:abstractNumId w:val="15"/>
  </w:num>
  <w:num w:numId="43">
    <w:abstractNumId w:val="21"/>
  </w:num>
  <w:num w:numId="44">
    <w:abstractNumId w:val="45"/>
  </w:num>
  <w:num w:numId="45">
    <w:abstractNumId w:val="22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hyphenationZone w:val="425"/>
  <w:characterSpacingControl w:val="doNotCompress"/>
  <w:compat/>
  <w:rsids>
    <w:rsidRoot w:val="00652194"/>
    <w:rsid w:val="00026A2C"/>
    <w:rsid w:val="00033B25"/>
    <w:rsid w:val="000465EB"/>
    <w:rsid w:val="00065792"/>
    <w:rsid w:val="0007549F"/>
    <w:rsid w:val="000C750B"/>
    <w:rsid w:val="001C7F63"/>
    <w:rsid w:val="001D16A0"/>
    <w:rsid w:val="002343D9"/>
    <w:rsid w:val="002628DF"/>
    <w:rsid w:val="002D100F"/>
    <w:rsid w:val="002F527B"/>
    <w:rsid w:val="00316C89"/>
    <w:rsid w:val="003447A8"/>
    <w:rsid w:val="003C3D61"/>
    <w:rsid w:val="00413D86"/>
    <w:rsid w:val="00421879"/>
    <w:rsid w:val="004342AD"/>
    <w:rsid w:val="004E5CC2"/>
    <w:rsid w:val="004F53F5"/>
    <w:rsid w:val="00553A78"/>
    <w:rsid w:val="00652194"/>
    <w:rsid w:val="006903FE"/>
    <w:rsid w:val="006B347E"/>
    <w:rsid w:val="00713EFA"/>
    <w:rsid w:val="00716019"/>
    <w:rsid w:val="007374F2"/>
    <w:rsid w:val="007623A3"/>
    <w:rsid w:val="00772D7E"/>
    <w:rsid w:val="007C26FC"/>
    <w:rsid w:val="00845C56"/>
    <w:rsid w:val="008B109A"/>
    <w:rsid w:val="008C6FC2"/>
    <w:rsid w:val="00930B02"/>
    <w:rsid w:val="00936A99"/>
    <w:rsid w:val="00965EAC"/>
    <w:rsid w:val="009D2F88"/>
    <w:rsid w:val="00A01ACA"/>
    <w:rsid w:val="00A31C7C"/>
    <w:rsid w:val="00A34148"/>
    <w:rsid w:val="00AF6963"/>
    <w:rsid w:val="00B42710"/>
    <w:rsid w:val="00B43A48"/>
    <w:rsid w:val="00BB636B"/>
    <w:rsid w:val="00BD1B84"/>
    <w:rsid w:val="00C6238A"/>
    <w:rsid w:val="00C86496"/>
    <w:rsid w:val="00CA4880"/>
    <w:rsid w:val="00CB3E0B"/>
    <w:rsid w:val="00D15AD8"/>
    <w:rsid w:val="00D6260D"/>
    <w:rsid w:val="00E27C96"/>
    <w:rsid w:val="00E40A30"/>
    <w:rsid w:val="00ED095D"/>
    <w:rsid w:val="00ED2AC2"/>
    <w:rsid w:val="00F2058C"/>
    <w:rsid w:val="00F74290"/>
    <w:rsid w:val="00F95578"/>
    <w:rsid w:val="00FD3ECF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9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5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AC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4271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Час та місце"/>
    <w:basedOn w:val="a"/>
    <w:rsid w:val="00B42710"/>
    <w:pPr>
      <w:keepNext/>
      <w:keepLines/>
      <w:suppressAutoHyphen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rsid w:val="00845C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845C56"/>
    <w:rPr>
      <w:b/>
      <w:bCs/>
    </w:rPr>
  </w:style>
  <w:style w:type="paragraph" w:styleId="a7">
    <w:name w:val="Normal (Web)"/>
    <w:basedOn w:val="a"/>
    <w:uiPriority w:val="99"/>
    <w:semiHidden/>
    <w:unhideWhenUsed/>
    <w:rsid w:val="00845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Normual">
    <w:name w:val="Normual'"/>
    <w:rsid w:val="00A3414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421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ertprofos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Гаваза</dc:creator>
  <cp:keywords/>
  <dc:description/>
  <cp:lastModifiedBy>Андрій Гаваза</cp:lastModifiedBy>
  <cp:revision>35</cp:revision>
  <cp:lastPrinted>2025-11-27T13:17:00Z</cp:lastPrinted>
  <dcterms:created xsi:type="dcterms:W3CDTF">2025-10-15T06:24:00Z</dcterms:created>
  <dcterms:modified xsi:type="dcterms:W3CDTF">2025-12-08T13:40:00Z</dcterms:modified>
</cp:coreProperties>
</file>